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493F0" w14:textId="536A3425" w:rsidR="005A7492" w:rsidRPr="00B91802" w:rsidRDefault="002F3FD5">
      <w:pPr>
        <w:rPr>
          <w:sz w:val="36"/>
          <w:szCs w:val="36"/>
        </w:rPr>
      </w:pPr>
      <w:r>
        <w:rPr>
          <w:noProof/>
        </w:rPr>
        <w:drawing>
          <wp:anchor distT="0" distB="0" distL="114300" distR="114300" simplePos="0" relativeHeight="251658240" behindDoc="1" locked="0" layoutInCell="1" allowOverlap="1" wp14:anchorId="47675A55" wp14:editId="393ED3DE">
            <wp:simplePos x="0" y="0"/>
            <wp:positionH relativeFrom="margin">
              <wp:posOffset>4406900</wp:posOffset>
            </wp:positionH>
            <wp:positionV relativeFrom="paragraph">
              <wp:posOffset>0</wp:posOffset>
            </wp:positionV>
            <wp:extent cx="1733550" cy="1484630"/>
            <wp:effectExtent l="0" t="0" r="0" b="1270"/>
            <wp:wrapTight wrapText="bothSides">
              <wp:wrapPolygon edited="0">
                <wp:start x="0" y="0"/>
                <wp:lineTo x="0" y="21341"/>
                <wp:lineTo x="21363" y="21341"/>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3550" cy="14846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91802" w:rsidRPr="00B91802">
        <w:rPr>
          <w:sz w:val="36"/>
          <w:szCs w:val="36"/>
        </w:rPr>
        <w:t>Genalex</w:t>
      </w:r>
      <w:proofErr w:type="spellEnd"/>
      <w:r w:rsidR="00B91802" w:rsidRPr="00B91802">
        <w:rPr>
          <w:sz w:val="36"/>
          <w:szCs w:val="36"/>
        </w:rPr>
        <w:t xml:space="preserve"> 1946 Portable model 888</w:t>
      </w:r>
    </w:p>
    <w:p w14:paraId="39964293" w14:textId="4F903183" w:rsidR="004D459D" w:rsidRDefault="00B91802">
      <w:r>
        <w:t>By Graham Parslow</w:t>
      </w:r>
      <w:r w:rsidR="0027794A">
        <w:t xml:space="preserve"> </w:t>
      </w:r>
    </w:p>
    <w:p w14:paraId="073AB271" w14:textId="77777777" w:rsidR="004D459D" w:rsidRDefault="004D459D"/>
    <w:p w14:paraId="2B766875" w14:textId="77777777" w:rsidR="004D459D" w:rsidRDefault="004D459D"/>
    <w:p w14:paraId="1921D2A5" w14:textId="77777777" w:rsidR="004D459D" w:rsidRDefault="004D459D"/>
    <w:p w14:paraId="739841B6" w14:textId="6D2B3098" w:rsidR="00B91802" w:rsidRDefault="002F3FD5">
      <w:r>
        <w:rPr>
          <w:noProof/>
        </w:rPr>
        <w:drawing>
          <wp:inline distT="0" distB="0" distL="0" distR="0" wp14:anchorId="1EDC29EB" wp14:editId="64C2DC77">
            <wp:extent cx="5731510" cy="532529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5325290"/>
                    </a:xfrm>
                    <a:prstGeom prst="rect">
                      <a:avLst/>
                    </a:prstGeom>
                    <a:noFill/>
                    <a:ln>
                      <a:noFill/>
                    </a:ln>
                  </pic:spPr>
                </pic:pic>
              </a:graphicData>
            </a:graphic>
          </wp:inline>
        </w:drawing>
      </w:r>
    </w:p>
    <w:p w14:paraId="191A3B68" w14:textId="2405BE5F" w:rsidR="00B91802" w:rsidRDefault="00B91802"/>
    <w:p w14:paraId="55FC7E85" w14:textId="326A45D9" w:rsidR="00FF3F5A" w:rsidRDefault="004D459D">
      <w:r>
        <w:t xml:space="preserve">Was this radio a bargain at $10?  The value was realised </w:t>
      </w:r>
      <w:r w:rsidR="007F1D8C">
        <w:t>by</w:t>
      </w:r>
      <w:r>
        <w:t xml:space="preserve"> </w:t>
      </w:r>
      <w:r w:rsidR="007F1D8C">
        <w:t xml:space="preserve">making it </w:t>
      </w:r>
      <w:r>
        <w:t>a restoration project</w:t>
      </w:r>
      <w:r w:rsidR="007F1D8C">
        <w:t xml:space="preserve">.  This radio also prompted </w:t>
      </w:r>
      <w:r>
        <w:t>research into the history of British General Electric in Australia.</w:t>
      </w:r>
      <w:r w:rsidR="002B2CD1">
        <w:t xml:space="preserve">  The ARTS&amp;P decal dates this radio to post WWII and the model 888 circuit appears in the 1946 AORSM compilation.  </w:t>
      </w:r>
      <w:r w:rsidR="00616FF5">
        <w:t xml:space="preserve">Tasma were the manufacturers of </w:t>
      </w:r>
      <w:proofErr w:type="spellStart"/>
      <w:r w:rsidR="00616FF5">
        <w:t>Genalex</w:t>
      </w:r>
      <w:proofErr w:type="spellEnd"/>
      <w:r w:rsidR="00616FF5">
        <w:t xml:space="preserve"> products from 1930 to 1953</w:t>
      </w:r>
      <w:r w:rsidR="0067786E">
        <w:t xml:space="preserve"> and the </w:t>
      </w:r>
      <w:r w:rsidR="00001688">
        <w:t>model 888</w:t>
      </w:r>
      <w:r w:rsidR="0067786E">
        <w:t xml:space="preserve"> radio was also marketed with a Tasma badge</w:t>
      </w:r>
      <w:r w:rsidR="00616FF5">
        <w:t>.</w:t>
      </w:r>
    </w:p>
    <w:p w14:paraId="62C3ABC5" w14:textId="77777777" w:rsidR="009E709B" w:rsidRPr="009E709B" w:rsidRDefault="009E709B">
      <w:pPr>
        <w:rPr>
          <w:b/>
        </w:rPr>
      </w:pPr>
      <w:r w:rsidRPr="009E709B">
        <w:rPr>
          <w:b/>
        </w:rPr>
        <w:t>The Circuit</w:t>
      </w:r>
    </w:p>
    <w:p w14:paraId="40042605" w14:textId="14B1499A" w:rsidR="00B91802" w:rsidRDefault="002B2CD1">
      <w:r>
        <w:lastRenderedPageBreak/>
        <w:t>The circuitry is pre-war featuring all octal valve types.  The triple gang tuning capacitor supports an RF amplification stage using a 1N</w:t>
      </w:r>
      <w:r w:rsidR="00E06CCC">
        <w:t>5</w:t>
      </w:r>
      <w:r>
        <w:t xml:space="preserve"> valve.</w:t>
      </w:r>
      <w:r w:rsidR="00FF3F5A">
        <w:t xml:space="preserve">  The 1N</w:t>
      </w:r>
      <w:r w:rsidR="00E06CCC">
        <w:t>5</w:t>
      </w:r>
      <w:r w:rsidR="00FF3F5A">
        <w:t xml:space="preserve"> </w:t>
      </w:r>
      <w:r w:rsidR="009C6984">
        <w:t>RF</w:t>
      </w:r>
      <w:r w:rsidR="00BE783D">
        <w:t>-</w:t>
      </w:r>
      <w:r w:rsidR="009C6984">
        <w:t xml:space="preserve">amplifier </w:t>
      </w:r>
      <w:r w:rsidR="00FF3F5A">
        <w:t>has a metal skirt that is earthed as a shield</w:t>
      </w:r>
      <w:r w:rsidR="00BE783D">
        <w:t xml:space="preserve"> although the valve may have been manufactured with a full metal shield like the subsequent valves.  O</w:t>
      </w:r>
      <w:r w:rsidR="00FF3F5A">
        <w:t>nly the output pentode</w:t>
      </w:r>
      <w:r w:rsidR="00BE783D">
        <w:t xml:space="preserve"> is</w:t>
      </w:r>
      <w:r w:rsidR="00FF3F5A">
        <w:t xml:space="preserve"> unshielded. </w:t>
      </w:r>
      <w:r w:rsidR="00BE783D">
        <w:t>The familiar GOAT shield was US patented, but the light weight shields used here are stamped only with N.Z. and Australian patent numbers.</w:t>
      </w:r>
      <w:r w:rsidR="007B013D">
        <w:t xml:space="preserve"> If you know more about who made these shields please submit your information to Radio Waves.</w:t>
      </w:r>
    </w:p>
    <w:p w14:paraId="71DAE3AF" w14:textId="755DA72F" w:rsidR="00B91802" w:rsidRDefault="00B91802"/>
    <w:p w14:paraId="24E3A498" w14:textId="41CB19F8" w:rsidR="00B91802" w:rsidRDefault="00B91802">
      <w:r>
        <w:rPr>
          <w:noProof/>
        </w:rPr>
        <w:drawing>
          <wp:inline distT="0" distB="0" distL="0" distR="0" wp14:anchorId="265A9222" wp14:editId="3CA5DAE3">
            <wp:extent cx="5727700" cy="460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4603750"/>
                    </a:xfrm>
                    <a:prstGeom prst="rect">
                      <a:avLst/>
                    </a:prstGeom>
                    <a:noFill/>
                    <a:ln>
                      <a:noFill/>
                    </a:ln>
                  </pic:spPr>
                </pic:pic>
              </a:graphicData>
            </a:graphic>
          </wp:inline>
        </w:drawing>
      </w:r>
    </w:p>
    <w:p w14:paraId="1D4CAFF6" w14:textId="77777777" w:rsidR="00CC3132" w:rsidRDefault="002B2CD1">
      <w:r>
        <w:t>The loop aerial is neatly wound into a rebate towards the back</w:t>
      </w:r>
      <w:r w:rsidR="0030129F">
        <w:t xml:space="preserve"> of the cabinet</w:t>
      </w:r>
      <w:r>
        <w:t xml:space="preserve">.  The leatherette </w:t>
      </w:r>
      <w:r w:rsidR="0030129F">
        <w:t>fabric covers</w:t>
      </w:r>
      <w:r>
        <w:t xml:space="preserve"> the aerial</w:t>
      </w:r>
      <w:r w:rsidR="00A33FE7">
        <w:t xml:space="preserve">.  </w:t>
      </w:r>
      <w:r w:rsidR="002C4D11">
        <w:t>However, t</w:t>
      </w:r>
      <w:r>
        <w:t xml:space="preserve">his radio had lost the fabric on the base so the aerial was revealed.  </w:t>
      </w:r>
      <w:r w:rsidR="006670D6">
        <w:t xml:space="preserve">Unusually the provision for external connections are adjacent to the carrying handle. </w:t>
      </w:r>
      <w:r>
        <w:t>The leather anchors at each end of the handle show a thread and nut coming from the case.  These are not part of the handle, but provide connection points for an external aerial and earth.</w:t>
      </w:r>
      <w:r w:rsidR="00750549">
        <w:t xml:space="preserve">  </w:t>
      </w:r>
      <w:r w:rsidR="00625CAE">
        <w:t xml:space="preserve">The internal aerial detaches from the radio by releasing spring clips.  </w:t>
      </w:r>
    </w:p>
    <w:p w14:paraId="2343574C" w14:textId="7E910A7F" w:rsidR="00B91802" w:rsidRDefault="00985DC8">
      <w:r>
        <w:t xml:space="preserve">Stations are selected by the tuned circuit formed by the first tuning capacitor gang and the aerial loop.  Amplified RF is then passed </w:t>
      </w:r>
      <w:r w:rsidR="0038444D">
        <w:t xml:space="preserve">to the 1A7 mixer </w:t>
      </w:r>
      <w:r>
        <w:t xml:space="preserve">by a coupling transformer mounted </w:t>
      </w:r>
      <w:r w:rsidR="0038444D">
        <w:t xml:space="preserve">under the chassis </w:t>
      </w:r>
      <w:r>
        <w:t xml:space="preserve">in a </w:t>
      </w:r>
      <w:r w:rsidR="0038444D">
        <w:t xml:space="preserve">rectangular </w:t>
      </w:r>
      <w:r>
        <w:t>shielded</w:t>
      </w:r>
      <w:r w:rsidR="0038444D" w:rsidRPr="0038444D">
        <w:t xml:space="preserve"> </w:t>
      </w:r>
      <w:r w:rsidR="0038444D">
        <w:t>case</w:t>
      </w:r>
      <w:r>
        <w:t xml:space="preserve">.  The secondary of this coupling transformer can be tuned </w:t>
      </w:r>
      <w:r w:rsidR="0038444D">
        <w:t xml:space="preserve">by a slug that protrudes from the rear of the chassis (it </w:t>
      </w:r>
      <w:r w:rsidR="00625CAE">
        <w:t xml:space="preserve">can be seen </w:t>
      </w:r>
      <w:r w:rsidR="0038444D">
        <w:t>in the middle of the mounting threads for the shield can).  The coupling transformer forms a tuned circuit with the second gang of the tuning capacitor to enhance selectivity.  The local oscillator is tuned by the third gang of the tuning capacitor and the oscillator coil can be seen under the chassis covered with red wax.</w:t>
      </w:r>
      <w:r w:rsidR="0027794A">
        <w:t xml:space="preserve">  The IF </w:t>
      </w:r>
      <w:r w:rsidR="0027794A">
        <w:lastRenderedPageBreak/>
        <w:t>frequency is a little unusual at 458 kHz, but the stage is quite conventional with two IF transformers mounted on the top of the chassis.</w:t>
      </w:r>
    </w:p>
    <w:p w14:paraId="2F88BAC7" w14:textId="3D1A8D6F" w:rsidR="0030129F" w:rsidRDefault="0030129F">
      <w:r>
        <w:t>The detector has a single diode to provide AGC and audio output.  The audio is fed from a 0.5M volume control to the triode grid of the 1H5.</w:t>
      </w:r>
      <w:r w:rsidR="008D31AA">
        <w:t xml:space="preserve">  The tone switch has two positions that connects a 0.002uF top-cut capacitor between earth and the top of the volume control when bass is selected.  The other tone position has no function other than to disconnect the top-cut.</w:t>
      </w:r>
    </w:p>
    <w:p w14:paraId="50126B1E" w14:textId="39749DB9" w:rsidR="00496008" w:rsidRDefault="00496008">
      <w:r>
        <w:t xml:space="preserve">The speaker is an </w:t>
      </w:r>
      <w:proofErr w:type="spellStart"/>
      <w:r w:rsidR="003E655F">
        <w:t>A</w:t>
      </w:r>
      <w:r>
        <w:t>mplion</w:t>
      </w:r>
      <w:proofErr w:type="spellEnd"/>
      <w:r>
        <w:t xml:space="preserve"> </w:t>
      </w:r>
      <w:proofErr w:type="gramStart"/>
      <w:r w:rsidR="00A5238A">
        <w:t>5</w:t>
      </w:r>
      <w:r w:rsidR="003E655F">
        <w:t xml:space="preserve"> inch</w:t>
      </w:r>
      <w:proofErr w:type="gramEnd"/>
      <w:r w:rsidR="003E655F">
        <w:t xml:space="preserve"> </w:t>
      </w:r>
      <w:r>
        <w:t xml:space="preserve">permanent magnet </w:t>
      </w:r>
      <w:r w:rsidR="003E655F">
        <w:t>unit with a 12k Ohm transformer attached.  The leads from the output transformer</w:t>
      </w:r>
      <w:r w:rsidR="004C5135" w:rsidRPr="004C5135">
        <w:t xml:space="preserve"> </w:t>
      </w:r>
      <w:r w:rsidR="004C5135">
        <w:t>primary</w:t>
      </w:r>
      <w:r w:rsidR="003E655F">
        <w:t xml:space="preserve"> are detachable from connecting-posts on the chassis.  </w:t>
      </w:r>
    </w:p>
    <w:p w14:paraId="57F874C8" w14:textId="1575B9D4" w:rsidR="00B91802" w:rsidRDefault="00B91802">
      <w:r>
        <w:rPr>
          <w:noProof/>
        </w:rPr>
        <w:drawing>
          <wp:anchor distT="0" distB="0" distL="114300" distR="114300" simplePos="0" relativeHeight="251659264" behindDoc="1" locked="0" layoutInCell="1" allowOverlap="1" wp14:anchorId="627886FA" wp14:editId="5E3D0AE4">
            <wp:simplePos x="0" y="0"/>
            <wp:positionH relativeFrom="margin">
              <wp:align>left</wp:align>
            </wp:positionH>
            <wp:positionV relativeFrom="paragraph">
              <wp:posOffset>285115</wp:posOffset>
            </wp:positionV>
            <wp:extent cx="3844925" cy="2419350"/>
            <wp:effectExtent l="0" t="0" r="3175" b="0"/>
            <wp:wrapTight wrapText="bothSides">
              <wp:wrapPolygon edited="0">
                <wp:start x="0" y="0"/>
                <wp:lineTo x="0" y="21430"/>
                <wp:lineTo x="21511" y="21430"/>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492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84B">
        <w:t>In battery mode the power selector joins all valve filaments in parallel to be driven by 1.5 V.</w:t>
      </w:r>
    </w:p>
    <w:p w14:paraId="6251A3A2" w14:textId="0D1C4847" w:rsidR="00B91802" w:rsidRDefault="00B91802"/>
    <w:p w14:paraId="7ADEF750" w14:textId="0BBD97E8" w:rsidR="00B91802" w:rsidRDefault="00B91802"/>
    <w:p w14:paraId="06FB9C44" w14:textId="0E970F59" w:rsidR="00B91802" w:rsidRDefault="00B91802"/>
    <w:p w14:paraId="7815FBFA" w14:textId="123A5A31" w:rsidR="00B91802" w:rsidRDefault="00B91802"/>
    <w:p w14:paraId="42368A95" w14:textId="13E61383" w:rsidR="00B91802" w:rsidRDefault="00B91802"/>
    <w:p w14:paraId="66952C2D" w14:textId="002E7516" w:rsidR="00B91802" w:rsidRDefault="00B91802"/>
    <w:p w14:paraId="5F31CF7F" w14:textId="2CD70F34" w:rsidR="00B91802" w:rsidRDefault="00B91802"/>
    <w:p w14:paraId="0AF36B4C" w14:textId="77777777" w:rsidR="00D05832" w:rsidRDefault="00D05832"/>
    <w:p w14:paraId="1752E4CB" w14:textId="53D419ED" w:rsidR="00B91802" w:rsidRDefault="00D05832">
      <w:r>
        <w:rPr>
          <w:noProof/>
        </w:rPr>
        <w:drawing>
          <wp:anchor distT="0" distB="0" distL="114300" distR="114300" simplePos="0" relativeHeight="251662336" behindDoc="1" locked="0" layoutInCell="1" allowOverlap="1" wp14:anchorId="38C3AAE5" wp14:editId="447EE997">
            <wp:simplePos x="0" y="0"/>
            <wp:positionH relativeFrom="column">
              <wp:posOffset>825500</wp:posOffset>
            </wp:positionH>
            <wp:positionV relativeFrom="paragraph">
              <wp:posOffset>975360</wp:posOffset>
            </wp:positionV>
            <wp:extent cx="4662805" cy="3632200"/>
            <wp:effectExtent l="0" t="0" r="4445" b="6350"/>
            <wp:wrapTight wrapText="bothSides">
              <wp:wrapPolygon edited="0">
                <wp:start x="0" y="0"/>
                <wp:lineTo x="0" y="21524"/>
                <wp:lineTo x="21532" y="21524"/>
                <wp:lineTo x="2153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2805" cy="363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0CCD1" w14:textId="0385B21F" w:rsidR="00B91802" w:rsidRDefault="00270D4D">
      <w:r>
        <w:rPr>
          <w:noProof/>
        </w:rPr>
        <w:lastRenderedPageBreak/>
        <w:drawing>
          <wp:inline distT="0" distB="0" distL="0" distR="0" wp14:anchorId="3B0F0403" wp14:editId="407DE346">
            <wp:extent cx="5731510" cy="521906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se interior.jpg"/>
                    <pic:cNvPicPr/>
                  </pic:nvPicPr>
                  <pic:blipFill>
                    <a:blip r:embed="rId9">
                      <a:extLst>
                        <a:ext uri="{28A0092B-C50C-407E-A947-70E740481C1C}">
                          <a14:useLocalDpi xmlns:a14="http://schemas.microsoft.com/office/drawing/2010/main" val="0"/>
                        </a:ext>
                      </a:extLst>
                    </a:blip>
                    <a:stretch>
                      <a:fillRect/>
                    </a:stretch>
                  </pic:blipFill>
                  <pic:spPr>
                    <a:xfrm>
                      <a:off x="0" y="0"/>
                      <a:ext cx="5731510" cy="5219065"/>
                    </a:xfrm>
                    <a:prstGeom prst="rect">
                      <a:avLst/>
                    </a:prstGeom>
                  </pic:spPr>
                </pic:pic>
              </a:graphicData>
            </a:graphic>
          </wp:inline>
        </w:drawing>
      </w:r>
    </w:p>
    <w:p w14:paraId="6A09A4E9" w14:textId="42DC2C11" w:rsidR="00B91802" w:rsidRPr="009E709B" w:rsidRDefault="009E709B">
      <w:pPr>
        <w:rPr>
          <w:b/>
        </w:rPr>
      </w:pPr>
      <w:r w:rsidRPr="009E709B">
        <w:rPr>
          <w:b/>
        </w:rPr>
        <w:t>Restoration</w:t>
      </w:r>
    </w:p>
    <w:p w14:paraId="5022E89A" w14:textId="5D81C39B" w:rsidR="00B91802" w:rsidRDefault="00B91802">
      <w:r>
        <w:rPr>
          <w:noProof/>
        </w:rPr>
        <w:drawing>
          <wp:anchor distT="0" distB="0" distL="114300" distR="114300" simplePos="0" relativeHeight="251660288" behindDoc="1" locked="0" layoutInCell="1" allowOverlap="1" wp14:anchorId="7A073213" wp14:editId="28ACD83C">
            <wp:simplePos x="0" y="0"/>
            <wp:positionH relativeFrom="margin">
              <wp:align>left</wp:align>
            </wp:positionH>
            <wp:positionV relativeFrom="paragraph">
              <wp:posOffset>0</wp:posOffset>
            </wp:positionV>
            <wp:extent cx="3486150" cy="2579370"/>
            <wp:effectExtent l="0" t="0" r="0" b="0"/>
            <wp:wrapTight wrapText="bothSides">
              <wp:wrapPolygon edited="0">
                <wp:start x="0" y="0"/>
                <wp:lineTo x="0" y="21377"/>
                <wp:lineTo x="21482" y="21377"/>
                <wp:lineTo x="214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15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84B">
        <w:t xml:space="preserve">The dial pointer was missing so a replacement was created using automotive chrome </w:t>
      </w:r>
      <w:r w:rsidR="00C3149B">
        <w:t>strips attached to a clear plastic backing.</w:t>
      </w:r>
    </w:p>
    <w:p w14:paraId="6683206F" w14:textId="77777777" w:rsidR="00E707ED" w:rsidRDefault="00255722">
      <w:r>
        <w:t xml:space="preserve">Before anything else the primary of the output transformer was checked for continuity and the </w:t>
      </w:r>
      <w:r w:rsidR="00E707ED">
        <w:t xml:space="preserve">analogue meter </w:t>
      </w:r>
      <w:r>
        <w:t>test produced the correct r</w:t>
      </w:r>
      <w:r w:rsidR="00E707ED">
        <w:t>esi</w:t>
      </w:r>
      <w:r>
        <w:t>stance and a crackle in the speaker</w:t>
      </w:r>
      <w:r w:rsidR="00E707ED">
        <w:t xml:space="preserve">.  </w:t>
      </w:r>
    </w:p>
    <w:p w14:paraId="591B6205" w14:textId="6021C503" w:rsidR="00415A38" w:rsidRDefault="00415A38">
      <w:r>
        <w:t xml:space="preserve">The HT filter electrolytic C31 was replaced before powering up.  The large </w:t>
      </w:r>
      <w:r w:rsidR="00255722">
        <w:t xml:space="preserve">old </w:t>
      </w:r>
      <w:proofErr w:type="spellStart"/>
      <w:r>
        <w:t>Aerovox</w:t>
      </w:r>
      <w:proofErr w:type="spellEnd"/>
      <w:r>
        <w:t xml:space="preserve"> electrolytic was blocking access to the 1Q5 valve </w:t>
      </w:r>
      <w:r w:rsidR="00D05832">
        <w:t>socket</w:t>
      </w:r>
      <w:r>
        <w:t xml:space="preserve"> so replacing it made it possible to work in this area (essential as it turned out). </w:t>
      </w:r>
    </w:p>
    <w:p w14:paraId="77C09EEB" w14:textId="51E3D888" w:rsidR="004B13BD" w:rsidRDefault="004B13BD"/>
    <w:p w14:paraId="7A6DCBE0" w14:textId="13355C4C" w:rsidR="004B13BD" w:rsidRDefault="004C5F8B">
      <w:bookmarkStart w:id="0" w:name="_GoBack"/>
      <w:r>
        <w:rPr>
          <w:noProof/>
        </w:rPr>
        <w:lastRenderedPageBreak/>
        <w:drawing>
          <wp:inline distT="0" distB="0" distL="0" distR="0" wp14:anchorId="01229213" wp14:editId="1D60AB9C">
            <wp:extent cx="5731510" cy="37445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 Under chass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44595"/>
                    </a:xfrm>
                    <a:prstGeom prst="rect">
                      <a:avLst/>
                    </a:prstGeom>
                  </pic:spPr>
                </pic:pic>
              </a:graphicData>
            </a:graphic>
          </wp:inline>
        </w:drawing>
      </w:r>
      <w:bookmarkEnd w:id="0"/>
    </w:p>
    <w:p w14:paraId="19DF1E70" w14:textId="77777777" w:rsidR="00415F95" w:rsidRDefault="00C3149B">
      <w:r>
        <w:t>At first connecting bench power supplies to the battery leads</w:t>
      </w:r>
      <w:r w:rsidR="00255722">
        <w:t xml:space="preserve"> resulted in</w:t>
      </w:r>
      <w:r>
        <w:t xml:space="preserve"> nothing happen</w:t>
      </w:r>
      <w:r w:rsidR="003A0F5B">
        <w:t>ing</w:t>
      </w:r>
      <w:r>
        <w:t xml:space="preserve"> with no current drawn by either LT or HT.  Both the ON-OFF switch at the front and the power selector switch at the rear had failed.  Persistence with CRC contact cleaner eventually produced good contact </w:t>
      </w:r>
      <w:r w:rsidR="007A54F8">
        <w:t>of</w:t>
      </w:r>
      <w:r>
        <w:t xml:space="preserve"> the battery lines.</w:t>
      </w:r>
      <w:r w:rsidR="006F7026">
        <w:t xml:space="preserve"> </w:t>
      </w:r>
    </w:p>
    <w:p w14:paraId="65A7A0CD" w14:textId="3FC82276" w:rsidR="00B91802" w:rsidRDefault="00415F95">
      <w:r>
        <w:t xml:space="preserve">Four of the valves </w:t>
      </w:r>
      <w:r w:rsidR="00BB21D8">
        <w:t>have</w:t>
      </w:r>
      <w:r>
        <w:t xml:space="preserve"> filament</w:t>
      </w:r>
      <w:r w:rsidR="00BB21D8">
        <w:t xml:space="preserve">s </w:t>
      </w:r>
      <w:r>
        <w:t xml:space="preserve">rated to draw 50mA and the 1Q5 is rated at 100mA. In theory this adds to 300mA drawn from a 1.5V source.   The circuit diagram states </w:t>
      </w:r>
      <w:r w:rsidR="00494D43">
        <w:t>filament</w:t>
      </w:r>
      <w:r>
        <w:t xml:space="preserve"> </w:t>
      </w:r>
      <w:proofErr w:type="gramStart"/>
      <w:r>
        <w:t>drain</w:t>
      </w:r>
      <w:proofErr w:type="gramEnd"/>
      <w:r>
        <w:t xml:space="preserve"> as 250mA and may have been measured with a battery producing less than 1.5V on load. </w:t>
      </w:r>
      <w:r w:rsidR="00BB21D8">
        <w:t>W</w:t>
      </w:r>
      <w:r>
        <w:t xml:space="preserve">ith a digitally measured supply voltage of 1.5 </w:t>
      </w:r>
      <w:r w:rsidR="00BB21D8">
        <w:t xml:space="preserve">this radio </w:t>
      </w:r>
      <w:r>
        <w:t>had a</w:t>
      </w:r>
      <w:r w:rsidR="006F7026">
        <w:t xml:space="preserve"> filament current of 27</w:t>
      </w:r>
      <w:r>
        <w:t>8</w:t>
      </w:r>
      <w:r w:rsidR="006F7026">
        <w:t>mA</w:t>
      </w:r>
      <w:r w:rsidR="00BB21D8">
        <w:t>,</w:t>
      </w:r>
      <w:r>
        <w:t xml:space="preserve"> close enough to</w:t>
      </w:r>
      <w:r w:rsidR="006F7026">
        <w:t xml:space="preserve"> the expected value</w:t>
      </w:r>
      <w:r>
        <w:t>.  However,</w:t>
      </w:r>
      <w:r w:rsidR="006F7026">
        <w:t xml:space="preserve"> ramping up the HT </w:t>
      </w:r>
      <w:r>
        <w:t xml:space="preserve">from zero </w:t>
      </w:r>
      <w:r w:rsidR="006F7026">
        <w:t>resulted in 15mA drawn at 56 V</w:t>
      </w:r>
      <w:r w:rsidR="00255722">
        <w:t xml:space="preserve"> and no radio function beyond a faint hum in the speaker.  Since a 10mA draw was expected at 90V it was </w:t>
      </w:r>
      <w:r w:rsidR="006F7026">
        <w:t xml:space="preserve">time to halt and find the cause of </w:t>
      </w:r>
      <w:r w:rsidR="00255722">
        <w:t xml:space="preserve">the </w:t>
      </w:r>
      <w:r w:rsidR="006F7026">
        <w:t>excessive loading.</w:t>
      </w:r>
      <w:r w:rsidR="00255722">
        <w:t xml:space="preserve">  No components </w:t>
      </w:r>
      <w:r w:rsidR="005D7A8B">
        <w:t xml:space="preserve">under the chassis </w:t>
      </w:r>
      <w:r w:rsidR="00255722">
        <w:t>were noticeably heating.</w:t>
      </w:r>
      <w:r w:rsidR="00E707ED">
        <w:t xml:space="preserve">  Measuring voltages at the 1Q5 showed the grid bias was +2.1 V easily explaining the high current draw and lack of function of the output amplifier.  The plate of the 1H5 triode measured a mere 22V with a DMM so the 1H5 would not have been providing much amplification to any audio.  The HT limiting resistor R27 (1 M) measured 1.25M and was replaced.  </w:t>
      </w:r>
      <w:r w:rsidR="003A0F5B">
        <w:t xml:space="preserve">The lack of function and high current can be explained by the combination of </w:t>
      </w:r>
      <w:r w:rsidR="00E707ED">
        <w:t>R27</w:t>
      </w:r>
      <w:r w:rsidR="0086336B">
        <w:t xml:space="preserve"> </w:t>
      </w:r>
      <w:r w:rsidR="003474FA">
        <w:t xml:space="preserve">going </w:t>
      </w:r>
      <w:r w:rsidR="0086336B">
        <w:t>high</w:t>
      </w:r>
      <w:r w:rsidR="00E707ED">
        <w:t xml:space="preserve"> and</w:t>
      </w:r>
      <w:r w:rsidR="0086336B">
        <w:t xml:space="preserve"> </w:t>
      </w:r>
      <w:r w:rsidR="00E707ED">
        <w:t>a leaky audio</w:t>
      </w:r>
      <w:r w:rsidR="00410B33">
        <w:t>-</w:t>
      </w:r>
      <w:r w:rsidR="00E707ED">
        <w:t>coupling capacitor C28 (0.01uF)</w:t>
      </w:r>
      <w:r w:rsidR="00410B33">
        <w:t xml:space="preserve"> making the 1Q5 positively biased at the grid</w:t>
      </w:r>
      <w:r w:rsidR="00E707ED">
        <w:t>.  Sometimes theory and practice do coincide</w:t>
      </w:r>
      <w:r w:rsidR="003A0F5B">
        <w:t>,</w:t>
      </w:r>
      <w:r w:rsidR="00E707ED">
        <w:t xml:space="preserve"> and this was such an occasion.</w:t>
      </w:r>
      <w:r w:rsidR="002B60FC">
        <w:t xml:space="preserve">  A replacement R27 and C28 brought the set to life drawing 9</w:t>
      </w:r>
      <w:r w:rsidR="00410B33">
        <w:t xml:space="preserve"> </w:t>
      </w:r>
      <w:r w:rsidR="002B60FC">
        <w:t>mA at 90</w:t>
      </w:r>
      <w:r w:rsidR="00410B33">
        <w:t xml:space="preserve"> </w:t>
      </w:r>
      <w:r w:rsidR="002B60FC">
        <w:t>V</w:t>
      </w:r>
      <w:r w:rsidR="00410B33">
        <w:t xml:space="preserve">.  The </w:t>
      </w:r>
      <w:r w:rsidR="002B60FC">
        <w:t xml:space="preserve">grid bias </w:t>
      </w:r>
      <w:r w:rsidR="00494D43">
        <w:t>improved</w:t>
      </w:r>
      <w:r w:rsidR="00410B33">
        <w:t xml:space="preserve"> to</w:t>
      </w:r>
      <w:r w:rsidR="002B60FC">
        <w:t xml:space="preserve"> -7.5 V at the 1Q5 and 66</w:t>
      </w:r>
      <w:r w:rsidR="00410B33">
        <w:t xml:space="preserve"> </w:t>
      </w:r>
      <w:r w:rsidR="002B60FC">
        <w:t xml:space="preserve">V </w:t>
      </w:r>
      <w:r w:rsidR="00410B33">
        <w:t xml:space="preserve">was measured </w:t>
      </w:r>
      <w:r w:rsidR="002B60FC">
        <w:t>at the 1H5 plate.  The 1H5 plate voltage of 20</w:t>
      </w:r>
      <w:r w:rsidR="00410B33">
        <w:t xml:space="preserve"> </w:t>
      </w:r>
      <w:r w:rsidR="002B60FC">
        <w:t>V given on the circuit diagram</w:t>
      </w:r>
      <w:r w:rsidR="002B60FC" w:rsidRPr="002B60FC">
        <w:t xml:space="preserve"> </w:t>
      </w:r>
      <w:r w:rsidR="002B60FC">
        <w:t xml:space="preserve">is seriously misleading because it is the result of an analogue meter </w:t>
      </w:r>
      <w:r w:rsidR="00BE2E44">
        <w:t xml:space="preserve">(probably </w:t>
      </w:r>
      <w:r w:rsidR="004B13BD">
        <w:t>2</w:t>
      </w:r>
      <w:r w:rsidR="00BE2E44">
        <w:t>0</w:t>
      </w:r>
      <w:r w:rsidR="00410B33">
        <w:t xml:space="preserve"> </w:t>
      </w:r>
      <w:proofErr w:type="spellStart"/>
      <w:r w:rsidR="0086336B">
        <w:t>k</w:t>
      </w:r>
      <w:r w:rsidR="00410B33">
        <w:rPr>
          <w:rFonts w:cstheme="minorHAnsi"/>
        </w:rPr>
        <w:t>Ω</w:t>
      </w:r>
      <w:proofErr w:type="spellEnd"/>
      <w:r w:rsidR="0086336B">
        <w:t>/volt) shunting current to earth</w:t>
      </w:r>
      <w:r w:rsidR="002B60FC">
        <w:t>.</w:t>
      </w:r>
    </w:p>
    <w:p w14:paraId="6666356D" w14:textId="6CC6949F" w:rsidR="00B91802" w:rsidRDefault="009B3CAC">
      <w:r>
        <w:t xml:space="preserve">This was a chassis of intermediate difficulty to work on.  Thankfully the chassis was stable on the bench either </w:t>
      </w:r>
      <w:r w:rsidR="00410B33">
        <w:t xml:space="preserve">when </w:t>
      </w:r>
      <w:r>
        <w:t>completely inverted or on its side as in the photograph.</w:t>
      </w:r>
      <w:r w:rsidR="00E14E89">
        <w:t xml:space="preserve"> Setting the Leader signal generator to 458kHz established that the IF </w:t>
      </w:r>
      <w:r w:rsidR="00BB3C1C">
        <w:t>alignment was</w:t>
      </w:r>
      <w:r w:rsidR="00E14E89">
        <w:t xml:space="preserve"> </w:t>
      </w:r>
      <w:r w:rsidR="00294021">
        <w:t>optimal</w:t>
      </w:r>
      <w:r w:rsidR="00E14E89">
        <w:t xml:space="preserve">.  </w:t>
      </w:r>
      <w:r w:rsidR="00294021">
        <w:t>R</w:t>
      </w:r>
      <w:r w:rsidR="00BB3C1C">
        <w:t xml:space="preserve">eception was excellent from this </w:t>
      </w:r>
      <w:proofErr w:type="gramStart"/>
      <w:r w:rsidR="00BB3C1C">
        <w:t>five valve</w:t>
      </w:r>
      <w:proofErr w:type="gramEnd"/>
      <w:r w:rsidR="00BB3C1C">
        <w:t xml:space="preserve"> portable</w:t>
      </w:r>
      <w:r w:rsidR="00294021" w:rsidRPr="00294021">
        <w:t xml:space="preserve"> </w:t>
      </w:r>
      <w:r w:rsidR="00294021">
        <w:t>using only the loop aerial</w:t>
      </w:r>
      <w:r w:rsidR="00BB3C1C">
        <w:t>.</w:t>
      </w:r>
    </w:p>
    <w:p w14:paraId="33E39E64" w14:textId="0EBD9888" w:rsidR="00B91802" w:rsidRDefault="004C592F">
      <w:r>
        <w:rPr>
          <w:noProof/>
        </w:rPr>
        <w:lastRenderedPageBreak/>
        <w:drawing>
          <wp:inline distT="0" distB="0" distL="0" distR="0" wp14:anchorId="1A914923" wp14:editId="52AF923D">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29BF499E" w14:textId="61277375" w:rsidR="00B91802" w:rsidRDefault="00B91802"/>
    <w:p w14:paraId="4E983F89" w14:textId="59E57945" w:rsidR="00B91802" w:rsidRDefault="00D1668D">
      <w:r>
        <w:t xml:space="preserve">The case fabric presented poorly, even after </w:t>
      </w:r>
      <w:r w:rsidR="0024102F">
        <w:t xml:space="preserve">rigorous cleaning and </w:t>
      </w:r>
      <w:r>
        <w:t xml:space="preserve">gluing </w:t>
      </w:r>
      <w:r w:rsidR="00410B33">
        <w:t xml:space="preserve">the </w:t>
      </w:r>
      <w:r>
        <w:t xml:space="preserve">frayed sections </w:t>
      </w:r>
      <w:r w:rsidR="004C592F">
        <w:t xml:space="preserve">back </w:t>
      </w:r>
      <w:r>
        <w:t xml:space="preserve">to the underlying ply.  </w:t>
      </w:r>
      <w:r w:rsidR="00D17377">
        <w:t>I have other portables using equivalent fabric in much better condition</w:t>
      </w:r>
      <w:r w:rsidR="0024102F">
        <w:t>,</w:t>
      </w:r>
      <w:r w:rsidR="00D17377">
        <w:t xml:space="preserve"> so</w:t>
      </w:r>
      <w:r w:rsidR="0024102F">
        <w:t xml:space="preserve"> t</w:t>
      </w:r>
      <w:r>
        <w:t>he whole case was painted brown to create a uniform surface.  This sacrificed the original leatherette texture, but made for a more presentable radio</w:t>
      </w:r>
      <w:r w:rsidR="005A4C80">
        <w:t xml:space="preserve"> that could be displayed </w:t>
      </w:r>
      <w:r w:rsidR="00E02170">
        <w:t>rather than relegated to a storage shelf</w:t>
      </w:r>
      <w:r w:rsidR="005A4C80">
        <w:t xml:space="preserve">.  </w:t>
      </w:r>
    </w:p>
    <w:p w14:paraId="0985B187" w14:textId="79BEE41D" w:rsidR="00B91802" w:rsidRDefault="00B91802"/>
    <w:p w14:paraId="144CE34C" w14:textId="64B88877" w:rsidR="00B91802" w:rsidRDefault="00B91802"/>
    <w:p w14:paraId="16581D5E" w14:textId="4D6B5459" w:rsidR="00B91802" w:rsidRDefault="00B91802"/>
    <w:p w14:paraId="298FB2D3" w14:textId="418548BD" w:rsidR="00B91802" w:rsidRDefault="008826D2">
      <w:r>
        <w:rPr>
          <w:noProof/>
        </w:rPr>
        <w:lastRenderedPageBreak/>
        <w:drawing>
          <wp:anchor distT="0" distB="0" distL="114300" distR="114300" simplePos="0" relativeHeight="251661312" behindDoc="1" locked="0" layoutInCell="1" allowOverlap="1" wp14:anchorId="15726F34" wp14:editId="2C8B74B0">
            <wp:simplePos x="0" y="0"/>
            <wp:positionH relativeFrom="column">
              <wp:posOffset>-469900</wp:posOffset>
            </wp:positionH>
            <wp:positionV relativeFrom="paragraph">
              <wp:posOffset>525145</wp:posOffset>
            </wp:positionV>
            <wp:extent cx="5969000" cy="5406390"/>
            <wp:effectExtent l="0" t="0" r="0" b="3810"/>
            <wp:wrapTight wrapText="bothSides">
              <wp:wrapPolygon edited="0">
                <wp:start x="0" y="0"/>
                <wp:lineTo x="0" y="21539"/>
                <wp:lineTo x="21508" y="21539"/>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9000" cy="540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E0D64" w14:textId="38947FA1" w:rsidR="00B91802" w:rsidRDefault="00B91802">
      <w:r>
        <w:rPr>
          <w:noProof/>
        </w:rPr>
        <w:lastRenderedPageBreak/>
        <w:drawing>
          <wp:inline distT="0" distB="0" distL="0" distR="0" wp14:anchorId="00A5DDC4" wp14:editId="3E726371">
            <wp:extent cx="5715000" cy="429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14:paraId="33F12100" w14:textId="0443455C" w:rsidR="00B91802" w:rsidRDefault="00B91802"/>
    <w:p w14:paraId="23C89A30" w14:textId="37D6846A" w:rsidR="00B91802" w:rsidRDefault="00B91802">
      <w:r>
        <w:rPr>
          <w:noProof/>
        </w:rPr>
        <w:drawing>
          <wp:inline distT="0" distB="0" distL="0" distR="0" wp14:anchorId="06F1A9FE" wp14:editId="368F705E">
            <wp:extent cx="5727700" cy="32956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295650"/>
                    </a:xfrm>
                    <a:prstGeom prst="rect">
                      <a:avLst/>
                    </a:prstGeom>
                    <a:noFill/>
                    <a:ln>
                      <a:noFill/>
                    </a:ln>
                  </pic:spPr>
                </pic:pic>
              </a:graphicData>
            </a:graphic>
          </wp:inline>
        </w:drawing>
      </w:r>
    </w:p>
    <w:p w14:paraId="33C83C0B" w14:textId="33715F80" w:rsidR="00B91802" w:rsidRDefault="00B91802"/>
    <w:p w14:paraId="5FE65DE0" w14:textId="77777777" w:rsidR="00410B33" w:rsidRDefault="00410B33">
      <w:pPr>
        <w:rPr>
          <w:b/>
        </w:rPr>
      </w:pPr>
    </w:p>
    <w:p w14:paraId="21F4214A" w14:textId="77777777" w:rsidR="00410B33" w:rsidRDefault="00410B33">
      <w:pPr>
        <w:rPr>
          <w:b/>
        </w:rPr>
      </w:pPr>
    </w:p>
    <w:p w14:paraId="02FEB579" w14:textId="77777777" w:rsidR="00410B33" w:rsidRDefault="00410B33">
      <w:pPr>
        <w:rPr>
          <w:b/>
        </w:rPr>
      </w:pPr>
    </w:p>
    <w:p w14:paraId="54755D71" w14:textId="2DADE388" w:rsidR="00B91802" w:rsidRPr="009E709B" w:rsidRDefault="004C592F">
      <w:pPr>
        <w:rPr>
          <w:b/>
        </w:rPr>
      </w:pPr>
      <w:r w:rsidRPr="009E709B">
        <w:rPr>
          <w:b/>
        </w:rPr>
        <w:t>History of BGE</w:t>
      </w:r>
    </w:p>
    <w:p w14:paraId="5D40227E" w14:textId="5E62E3FE" w:rsidR="00A751BF" w:rsidRDefault="00A751BF" w:rsidP="00A751BF">
      <w:r>
        <w:t>The General Electric Company (GEC</w:t>
      </w:r>
      <w:r w:rsidR="006837E5">
        <w:t xml:space="preserve"> as in GECOPHONE)</w:t>
      </w:r>
      <w:r>
        <w:t xml:space="preserve"> </w:t>
      </w:r>
      <w:r w:rsidR="006837E5">
        <w:t xml:space="preserve">rose to be </w:t>
      </w:r>
      <w:r>
        <w:t>a major UK-based industrial conglomerate</w:t>
      </w:r>
      <w:r w:rsidR="00410B33">
        <w:t xml:space="preserve"> producing</w:t>
      </w:r>
      <w:r>
        <w:t xml:space="preserve"> consumer and defence </w:t>
      </w:r>
      <w:r w:rsidR="006837E5">
        <w:t>products</w:t>
      </w:r>
      <w:r>
        <w:t>.</w:t>
      </w:r>
      <w:r w:rsidR="006837E5">
        <w:t xml:space="preserve"> From a small retail company in 1886 the company prospered through two world wars</w:t>
      </w:r>
      <w:r w:rsidR="00467601">
        <w:t xml:space="preserve"> and amalgamation with Marconi.  E</w:t>
      </w:r>
      <w:r w:rsidR="006837E5">
        <w:t xml:space="preserve">ventually </w:t>
      </w:r>
      <w:r w:rsidR="00467601">
        <w:t>GEC was</w:t>
      </w:r>
      <w:r w:rsidR="006837E5">
        <w:t xml:space="preserve"> broken into subsidiary companies after 2001 (</w:t>
      </w:r>
      <w:r w:rsidR="00467601">
        <w:t xml:space="preserve">for details </w:t>
      </w:r>
      <w:r w:rsidR="006837E5">
        <w:t xml:space="preserve">visit </w:t>
      </w:r>
      <w:hyperlink r:id="rId16" w:history="1">
        <w:r w:rsidR="006837E5" w:rsidRPr="001A2AE7">
          <w:rPr>
            <w:rStyle w:val="Hyperlink"/>
          </w:rPr>
          <w:t>https://en.wikipedia.org/wiki/General_Electric_Company</w:t>
        </w:r>
      </w:hyperlink>
      <w:r w:rsidR="006837E5">
        <w:t xml:space="preserve">).   At no time was GEC (UK) affiliated with the General Electric Company of America, a mistake in association that I had made before checking the history of the separate companies.  </w:t>
      </w:r>
      <w:r w:rsidR="007B013D">
        <w:t xml:space="preserve">General Electric (US) had a </w:t>
      </w:r>
      <w:proofErr w:type="gramStart"/>
      <w:r w:rsidR="007B013D">
        <w:t>long time</w:t>
      </w:r>
      <w:proofErr w:type="gramEnd"/>
      <w:r w:rsidR="007B013D">
        <w:t xml:space="preserve"> association with AWA marketing badge engineered AGE radios that were clones of AWA radios.</w:t>
      </w:r>
    </w:p>
    <w:p w14:paraId="55B1F9EE" w14:textId="39C707FC" w:rsidR="004C55AA" w:rsidRDefault="00A85998">
      <w:r>
        <w:t xml:space="preserve">HRSA member Peter Hughes has </w:t>
      </w:r>
      <w:r w:rsidR="00467601">
        <w:t>posted</w:t>
      </w:r>
      <w:r>
        <w:t xml:space="preserve"> th</w:t>
      </w:r>
      <w:r w:rsidR="00467601">
        <w:t>e following</w:t>
      </w:r>
      <w:r>
        <w:t xml:space="preserve"> summary of BGE in Australia </w:t>
      </w:r>
      <w:r w:rsidR="00467601">
        <w:t>at</w:t>
      </w:r>
      <w:r>
        <w:t xml:space="preserve"> the European Radio Museum</w:t>
      </w:r>
      <w:r w:rsidR="00467601">
        <w:t xml:space="preserve"> (</w:t>
      </w:r>
      <w:hyperlink r:id="rId17" w:history="1">
        <w:r w:rsidR="00467601" w:rsidRPr="001A2AE7">
          <w:rPr>
            <w:rStyle w:val="Hyperlink"/>
          </w:rPr>
          <w:t>https://www.radiomuseum.org/dsp_hersteller_detail.cfm?company_id=7723</w:t>
        </w:r>
      </w:hyperlink>
      <w:r w:rsidR="00467601">
        <w:t xml:space="preserve">). </w:t>
      </w:r>
    </w:p>
    <w:p w14:paraId="5D437CA8" w14:textId="33C04D92" w:rsidR="00B91802" w:rsidRDefault="004C55AA" w:rsidP="004C55AA">
      <w:r w:rsidRPr="004C55AA">
        <w:t xml:space="preserve">The British General Electric Co. started importing British made sets under the name of </w:t>
      </w:r>
      <w:proofErr w:type="spellStart"/>
      <w:r w:rsidRPr="00467601">
        <w:rPr>
          <w:i/>
        </w:rPr>
        <w:t>Gecophone</w:t>
      </w:r>
      <w:proofErr w:type="spellEnd"/>
      <w:r w:rsidRPr="004C55AA">
        <w:t xml:space="preserve"> from about 1924.</w:t>
      </w:r>
      <w:r w:rsidR="007C6A63">
        <w:t xml:space="preserve">  </w:t>
      </w:r>
      <w:r>
        <w:t xml:space="preserve">After 1930 sets were manufactured by Thom and Smith Ltd (Tasma) under the name of </w:t>
      </w:r>
      <w:proofErr w:type="spellStart"/>
      <w:r>
        <w:t>Genalex</w:t>
      </w:r>
      <w:proofErr w:type="spellEnd"/>
      <w:r>
        <w:t xml:space="preserve">. </w:t>
      </w:r>
      <w:r w:rsidR="00092328">
        <w:t xml:space="preserve"> </w:t>
      </w:r>
      <w:r>
        <w:t xml:space="preserve">In 1933 the company made an agreement with Amalgamated Wireless Valve Co. Ltd. (AWV) for </w:t>
      </w:r>
      <w:r w:rsidR="007C6A63">
        <w:t>valves</w:t>
      </w:r>
      <w:r>
        <w:t xml:space="preserve"> to be made with the Osram brand.</w:t>
      </w:r>
      <w:r w:rsidR="007C6A63">
        <w:t xml:space="preserve"> </w:t>
      </w:r>
      <w:r>
        <w:t xml:space="preserve"> The </w:t>
      </w:r>
      <w:r w:rsidR="007C6A63">
        <w:t>Osram</w:t>
      </w:r>
      <w:r>
        <w:t xml:space="preserve"> boxes were marked "Made in Australia for the British General Electric Co. Ltd."</w:t>
      </w:r>
      <w:r w:rsidR="007C6A63">
        <w:t>.</w:t>
      </w:r>
      <w:r>
        <w:t xml:space="preserve"> The brand used for radios was changed </w:t>
      </w:r>
      <w:r w:rsidR="007C6A63">
        <w:t xml:space="preserve">from </w:t>
      </w:r>
      <w:proofErr w:type="spellStart"/>
      <w:r w:rsidR="007C6A63">
        <w:t>Genalex</w:t>
      </w:r>
      <w:proofErr w:type="spellEnd"/>
      <w:r w:rsidR="007C6A63">
        <w:t xml:space="preserve"> </w:t>
      </w:r>
      <w:r>
        <w:t>to BGE in 1953.</w:t>
      </w:r>
      <w:r w:rsidR="00092328">
        <w:t xml:space="preserve">  Between 1956 </w:t>
      </w:r>
      <w:r w:rsidR="00467601">
        <w:t>and</w:t>
      </w:r>
      <w:r w:rsidR="00092328">
        <w:t xml:space="preserve"> 1962 BGE branded products were manufactured by Standard Telephones &amp; Cables (STC).</w:t>
      </w:r>
    </w:p>
    <w:p w14:paraId="07DF597D" w14:textId="6E49FB82" w:rsidR="00DB5A58" w:rsidRDefault="00DB5A58" w:rsidP="004C55AA">
      <w:r>
        <w:t xml:space="preserve">Advertisements for </w:t>
      </w:r>
      <w:proofErr w:type="spellStart"/>
      <w:r>
        <w:t>Gecophone</w:t>
      </w:r>
      <w:proofErr w:type="spellEnd"/>
      <w:r>
        <w:t xml:space="preserve"> in Australia in 1924 proclaim</w:t>
      </w:r>
      <w:r w:rsidR="00467601">
        <w:t>ed</w:t>
      </w:r>
      <w:r>
        <w:t xml:space="preserve"> the head office address as 154-6 Clarence Street Sydney.  Potential purchase</w:t>
      </w:r>
      <w:r w:rsidR="00467601">
        <w:t>r</w:t>
      </w:r>
      <w:r>
        <w:t xml:space="preserve">s of a wireless to receive the new transmissions were told that radio would provide song, music and latest news and would form a necessary part of the day’s routine.  The </w:t>
      </w:r>
      <w:proofErr w:type="spellStart"/>
      <w:r>
        <w:t>Gecophone</w:t>
      </w:r>
      <w:proofErr w:type="spellEnd"/>
      <w:r>
        <w:t xml:space="preserve"> radios </w:t>
      </w:r>
      <w:r w:rsidR="00C652A7">
        <w:t xml:space="preserve">sent to Australia </w:t>
      </w:r>
      <w:r>
        <w:t xml:space="preserve">were manufactured </w:t>
      </w:r>
      <w:r w:rsidR="00180CD9">
        <w:t xml:space="preserve">at the Coventry works (UK) which was </w:t>
      </w:r>
      <w:r w:rsidR="00C652A7">
        <w:t>“</w:t>
      </w:r>
      <w:r w:rsidR="00180CD9">
        <w:t>equipped with the most up to date machinery in the world</w:t>
      </w:r>
      <w:r w:rsidR="00C652A7">
        <w:t>”</w:t>
      </w:r>
      <w:r w:rsidR="00180CD9">
        <w:t xml:space="preserve">.  Australian models </w:t>
      </w:r>
      <w:r w:rsidR="00467601">
        <w:t>were “</w:t>
      </w:r>
      <w:r w:rsidR="00180CD9">
        <w:t>minutely adapted to suit Australian regulations and conditions</w:t>
      </w:r>
      <w:r w:rsidR="00467601">
        <w:t>”</w:t>
      </w:r>
      <w:r w:rsidR="00180CD9">
        <w:t xml:space="preserve">.  A </w:t>
      </w:r>
      <w:r w:rsidR="00467601">
        <w:t xml:space="preserve">1924 </w:t>
      </w:r>
      <w:r w:rsidR="00180CD9">
        <w:t xml:space="preserve">complete </w:t>
      </w:r>
      <w:proofErr w:type="spellStart"/>
      <w:r w:rsidR="00467601">
        <w:t>Gecophone</w:t>
      </w:r>
      <w:proofErr w:type="spellEnd"/>
      <w:r w:rsidR="00467601">
        <w:t xml:space="preserve"> </w:t>
      </w:r>
      <w:r w:rsidR="00180CD9">
        <w:t xml:space="preserve">2 valve radio with headphones cost </w:t>
      </w:r>
      <w:r w:rsidR="00180CD9">
        <w:rPr>
          <w:rFonts w:cstheme="minorHAnsi"/>
        </w:rPr>
        <w:t>£</w:t>
      </w:r>
      <w:r w:rsidR="00180CD9">
        <w:t xml:space="preserve">35.   </w:t>
      </w:r>
      <w:r w:rsidR="00E30BE3">
        <w:t xml:space="preserve">Evan </w:t>
      </w:r>
      <w:proofErr w:type="spellStart"/>
      <w:r w:rsidR="00E30BE3">
        <w:t>Murfett</w:t>
      </w:r>
      <w:proofErr w:type="spellEnd"/>
      <w:r w:rsidR="00E30BE3">
        <w:t xml:space="preserve"> has described and illustrated </w:t>
      </w:r>
      <w:r w:rsidR="00467601">
        <w:t xml:space="preserve">many of </w:t>
      </w:r>
      <w:r w:rsidR="00E30BE3">
        <w:t xml:space="preserve">the </w:t>
      </w:r>
      <w:r w:rsidR="00162C41">
        <w:t xml:space="preserve">beautifully presented </w:t>
      </w:r>
      <w:r w:rsidR="00E30BE3">
        <w:t xml:space="preserve">Gecophone receivers of 1922-25 in </w:t>
      </w:r>
      <w:r w:rsidR="00E30BE3" w:rsidRPr="009A12FF">
        <w:rPr>
          <w:i/>
        </w:rPr>
        <w:t>Radio Waves</w:t>
      </w:r>
      <w:r w:rsidR="00E30BE3">
        <w:t xml:space="preserve"> in a </w:t>
      </w:r>
      <w:proofErr w:type="gramStart"/>
      <w:r w:rsidR="00E30BE3">
        <w:t>five part</w:t>
      </w:r>
      <w:proofErr w:type="gramEnd"/>
      <w:r w:rsidR="00E30BE3">
        <w:t xml:space="preserve"> series commencing </w:t>
      </w:r>
      <w:r w:rsidR="00467601">
        <w:t>in</w:t>
      </w:r>
      <w:r w:rsidR="00E30BE3">
        <w:t xml:space="preserve"> issue 146, September 2018.  </w:t>
      </w:r>
    </w:p>
    <w:p w14:paraId="1541465D" w14:textId="77DE47F9" w:rsidR="009E709B" w:rsidRDefault="0014470A" w:rsidP="004C55AA">
      <w:r>
        <w:t xml:space="preserve">The change from imported </w:t>
      </w:r>
      <w:proofErr w:type="spellStart"/>
      <w:r>
        <w:t>Gecophones</w:t>
      </w:r>
      <w:proofErr w:type="spellEnd"/>
      <w:r>
        <w:t xml:space="preserve"> to local manufacture was driven by high import tariffs imposed on radios around 1929.  That import duty also affected US brands, notably Atwater Kent.  </w:t>
      </w:r>
      <w:r w:rsidR="009E709B">
        <w:t xml:space="preserve">The 1933 Dapper 5 </w:t>
      </w:r>
      <w:proofErr w:type="spellStart"/>
      <w:r w:rsidR="009E709B">
        <w:t>Genalex</w:t>
      </w:r>
      <w:proofErr w:type="spellEnd"/>
      <w:r w:rsidR="009E709B">
        <w:t xml:space="preserve"> is another Tasma product in my collection. </w:t>
      </w:r>
      <w:r w:rsidR="00F51BEF">
        <w:t xml:space="preserve"> </w:t>
      </w:r>
      <w:r w:rsidR="00C652A7">
        <w:t xml:space="preserve">The model 888 of 1946 featured here illustrates the ongoing BGE association with Tasma.  </w:t>
      </w:r>
      <w:r w:rsidR="00F51BEF">
        <w:t>The 195</w:t>
      </w:r>
      <w:r w:rsidR="00BB21D8">
        <w:t>6</w:t>
      </w:r>
      <w:r w:rsidR="00F51BEF">
        <w:t xml:space="preserve"> BGE Dapper represents the brand change to BGE and manufacture by STC.</w:t>
      </w:r>
      <w:r w:rsidR="00284B36">
        <w:t xml:space="preserve">  The Chassis of the 195</w:t>
      </w:r>
      <w:r w:rsidR="00BB21D8">
        <w:t>6</w:t>
      </w:r>
      <w:r w:rsidR="00284B36">
        <w:t xml:space="preserve"> Dapper is identical to the contemporary STC Bantam radio.  </w:t>
      </w:r>
    </w:p>
    <w:p w14:paraId="263DDA13" w14:textId="02D35C68" w:rsidR="0014470A" w:rsidRDefault="0014470A" w:rsidP="004C55AA">
      <w:r>
        <w:t>Th</w:t>
      </w:r>
      <w:r w:rsidR="003474FA">
        <w:t>e</w:t>
      </w:r>
      <w:r>
        <w:t xml:space="preserve"> </w:t>
      </w:r>
      <w:proofErr w:type="spellStart"/>
      <w:r w:rsidR="00AF7C6D">
        <w:t>Genalex</w:t>
      </w:r>
      <w:proofErr w:type="spellEnd"/>
      <w:r w:rsidR="00AF7C6D">
        <w:t xml:space="preserve"> </w:t>
      </w:r>
      <w:r>
        <w:t xml:space="preserve">radio </w:t>
      </w:r>
      <w:r w:rsidR="00C652A7">
        <w:t xml:space="preserve">featured here </w:t>
      </w:r>
      <w:r>
        <w:t xml:space="preserve">started off as a </w:t>
      </w:r>
      <w:r w:rsidR="00AF7C6D">
        <w:t xml:space="preserve">shabby </w:t>
      </w:r>
      <w:r>
        <w:t>old box, but every old box has a story to tell and this one has had some of its story told.</w:t>
      </w:r>
    </w:p>
    <w:sectPr w:rsidR="001447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02"/>
    <w:rsid w:val="00001688"/>
    <w:rsid w:val="000176C3"/>
    <w:rsid w:val="00092328"/>
    <w:rsid w:val="0013310C"/>
    <w:rsid w:val="0014470A"/>
    <w:rsid w:val="00162C41"/>
    <w:rsid w:val="00180CD9"/>
    <w:rsid w:val="0024102F"/>
    <w:rsid w:val="00255722"/>
    <w:rsid w:val="00270D4D"/>
    <w:rsid w:val="0027794A"/>
    <w:rsid w:val="00284B36"/>
    <w:rsid w:val="00294021"/>
    <w:rsid w:val="002B0724"/>
    <w:rsid w:val="002B2CD1"/>
    <w:rsid w:val="002B60FC"/>
    <w:rsid w:val="002C4D11"/>
    <w:rsid w:val="002F3FD5"/>
    <w:rsid w:val="0030129F"/>
    <w:rsid w:val="003474FA"/>
    <w:rsid w:val="00352103"/>
    <w:rsid w:val="0038444D"/>
    <w:rsid w:val="003A0C35"/>
    <w:rsid w:val="003A0F5B"/>
    <w:rsid w:val="003A0FB0"/>
    <w:rsid w:val="003E655F"/>
    <w:rsid w:val="00410B33"/>
    <w:rsid w:val="00415A38"/>
    <w:rsid w:val="00415F95"/>
    <w:rsid w:val="0042584B"/>
    <w:rsid w:val="00467601"/>
    <w:rsid w:val="00494D43"/>
    <w:rsid w:val="00496008"/>
    <w:rsid w:val="004B13BD"/>
    <w:rsid w:val="004C5135"/>
    <w:rsid w:val="004C55AA"/>
    <w:rsid w:val="004C592F"/>
    <w:rsid w:val="004C5F8B"/>
    <w:rsid w:val="004D459D"/>
    <w:rsid w:val="004E58E7"/>
    <w:rsid w:val="0057029C"/>
    <w:rsid w:val="005A4C80"/>
    <w:rsid w:val="005A7492"/>
    <w:rsid w:val="005D7A8B"/>
    <w:rsid w:val="0060677F"/>
    <w:rsid w:val="00616FF5"/>
    <w:rsid w:val="00625CAE"/>
    <w:rsid w:val="006670D6"/>
    <w:rsid w:val="0067786E"/>
    <w:rsid w:val="006837E5"/>
    <w:rsid w:val="006F7026"/>
    <w:rsid w:val="00750549"/>
    <w:rsid w:val="007A54F8"/>
    <w:rsid w:val="007B013D"/>
    <w:rsid w:val="007C6A63"/>
    <w:rsid w:val="007C7293"/>
    <w:rsid w:val="007F1D8C"/>
    <w:rsid w:val="0086336B"/>
    <w:rsid w:val="008826D2"/>
    <w:rsid w:val="008D31AA"/>
    <w:rsid w:val="00985DC8"/>
    <w:rsid w:val="009A12FF"/>
    <w:rsid w:val="009B3CAC"/>
    <w:rsid w:val="009C6984"/>
    <w:rsid w:val="009E709B"/>
    <w:rsid w:val="00A33FE7"/>
    <w:rsid w:val="00A5238A"/>
    <w:rsid w:val="00A751BF"/>
    <w:rsid w:val="00A82000"/>
    <w:rsid w:val="00A85998"/>
    <w:rsid w:val="00AF7C6D"/>
    <w:rsid w:val="00B91802"/>
    <w:rsid w:val="00BB21D8"/>
    <w:rsid w:val="00BB3C1C"/>
    <w:rsid w:val="00BE2E44"/>
    <w:rsid w:val="00BE783D"/>
    <w:rsid w:val="00C3149B"/>
    <w:rsid w:val="00C652A7"/>
    <w:rsid w:val="00CC3132"/>
    <w:rsid w:val="00D05832"/>
    <w:rsid w:val="00D1668D"/>
    <w:rsid w:val="00D17377"/>
    <w:rsid w:val="00D67D3A"/>
    <w:rsid w:val="00DB5A58"/>
    <w:rsid w:val="00E02170"/>
    <w:rsid w:val="00E06CCC"/>
    <w:rsid w:val="00E14E89"/>
    <w:rsid w:val="00E30BE3"/>
    <w:rsid w:val="00E707ED"/>
    <w:rsid w:val="00E72222"/>
    <w:rsid w:val="00EF12BD"/>
    <w:rsid w:val="00F51BEF"/>
    <w:rsid w:val="00FF3F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EECD5"/>
  <w15:chartTrackingRefBased/>
  <w15:docId w15:val="{D5BBC340-3351-4D8F-A845-30023C9D3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592F"/>
    <w:rPr>
      <w:color w:val="0563C1" w:themeColor="hyperlink"/>
      <w:u w:val="single"/>
    </w:rPr>
  </w:style>
  <w:style w:type="character" w:styleId="UnresolvedMention">
    <w:name w:val="Unresolved Mention"/>
    <w:basedOn w:val="DefaultParagraphFont"/>
    <w:uiPriority w:val="99"/>
    <w:semiHidden/>
    <w:unhideWhenUsed/>
    <w:rsid w:val="004C592F"/>
    <w:rPr>
      <w:color w:val="605E5C"/>
      <w:shd w:val="clear" w:color="auto" w:fill="E1DFDD"/>
    </w:rPr>
  </w:style>
  <w:style w:type="paragraph" w:styleId="ListParagraph">
    <w:name w:val="List Paragraph"/>
    <w:basedOn w:val="Normal"/>
    <w:uiPriority w:val="34"/>
    <w:qFormat/>
    <w:rsid w:val="004C592F"/>
    <w:pPr>
      <w:ind w:left="720"/>
      <w:contextualSpacing/>
    </w:pPr>
  </w:style>
  <w:style w:type="paragraph" w:styleId="NormalWeb">
    <w:name w:val="Normal (Web)"/>
    <w:basedOn w:val="Normal"/>
    <w:uiPriority w:val="99"/>
    <w:semiHidden/>
    <w:unhideWhenUsed/>
    <w:rsid w:val="004C55A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184385">
      <w:bodyDiv w:val="1"/>
      <w:marLeft w:val="0"/>
      <w:marRight w:val="0"/>
      <w:marTop w:val="0"/>
      <w:marBottom w:val="0"/>
      <w:divBdr>
        <w:top w:val="none" w:sz="0" w:space="0" w:color="auto"/>
        <w:left w:val="none" w:sz="0" w:space="0" w:color="auto"/>
        <w:bottom w:val="none" w:sz="0" w:space="0" w:color="auto"/>
        <w:right w:val="none" w:sz="0" w:space="0" w:color="auto"/>
      </w:divBdr>
    </w:div>
    <w:div w:id="2034265206">
      <w:bodyDiv w:val="1"/>
      <w:marLeft w:val="0"/>
      <w:marRight w:val="0"/>
      <w:marTop w:val="0"/>
      <w:marBottom w:val="0"/>
      <w:divBdr>
        <w:top w:val="none" w:sz="0" w:space="0" w:color="auto"/>
        <w:left w:val="none" w:sz="0" w:space="0" w:color="auto"/>
        <w:bottom w:val="none" w:sz="0" w:space="0" w:color="auto"/>
        <w:right w:val="none" w:sz="0" w:space="0" w:color="auto"/>
      </w:divBdr>
    </w:div>
    <w:div w:id="205226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radiomuseum.org/dsp_hersteller_detail.cfm?company_id=7723" TargetMode="External"/><Relationship Id="rId2" Type="http://schemas.openxmlformats.org/officeDocument/2006/relationships/settings" Target="settings.xml"/><Relationship Id="rId16" Type="http://schemas.openxmlformats.org/officeDocument/2006/relationships/hyperlink" Target="https://en.wikipedia.org/wiki/General_Electric_Company"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9</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Parslow</dc:creator>
  <cp:keywords/>
  <dc:description/>
  <cp:lastModifiedBy>Graham Parslow</cp:lastModifiedBy>
  <cp:revision>17</cp:revision>
  <dcterms:created xsi:type="dcterms:W3CDTF">2019-01-28T10:45:00Z</dcterms:created>
  <dcterms:modified xsi:type="dcterms:W3CDTF">2019-01-31T09:40:00Z</dcterms:modified>
</cp:coreProperties>
</file>